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0"/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Física y Química Integradas (</w:t>
      </w:r>
      <w:r w:rsidDel="00000000" w:rsidR="00000000" w:rsidRPr="00000000">
        <w:rPr>
          <w:sz w:val="34"/>
          <w:szCs w:val="34"/>
          <w:rtl w:val="0"/>
        </w:rPr>
        <w:t xml:space="preserve">IPC, por sus siglas en inglés) Sumario del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r w:rsidDel="00000000" w:rsidR="00000000" w:rsidRPr="00000000">
        <w:rPr>
          <w:rtl w:val="0"/>
        </w:rPr>
        <w:t xml:space="preserve">Primer Semestre</w:t>
      </w:r>
    </w:p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rtl w:val="0"/>
        </w:rPr>
        <w:t xml:space="preserve">Fuerza y movimiento - 32 días de enseñanza</w:t>
      </w:r>
    </w:p>
    <w:tbl>
      <w:tblPr>
        <w:tblStyle w:val="Table1"/>
        <w:tblW w:w="10814.0" w:type="dxa"/>
        <w:jc w:val="left"/>
        <w:tblInd w:w="-6.0" w:type="dxa"/>
        <w:tblLayout w:type="fixed"/>
        <w:tblLook w:val="0400"/>
      </w:tblPr>
      <w:tblGrid>
        <w:gridCol w:w="1242"/>
        <w:gridCol w:w="3004"/>
        <w:gridCol w:w="3537"/>
        <w:gridCol w:w="3031"/>
        <w:tblGridChange w:id="0">
          <w:tblGrid>
            <w:gridCol w:w="1242"/>
            <w:gridCol w:w="3004"/>
            <w:gridCol w:w="3537"/>
            <w:gridCol w:w="3031"/>
          </w:tblGrid>
        </w:tblGridChange>
      </w:tblGrid>
      <w:tr>
        <w:trPr>
          <w:cantSplit w:val="1"/>
          <w:trHeight w:val="23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spacing w:after="0" w:line="259" w:lineRule="auto"/>
              <w:ind w:left="0" w:right="24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06">
            <w:pPr>
              <w:spacing w:after="0" w:line="259" w:lineRule="auto"/>
              <w:ind w:left="0" w:right="25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Seguridad/Revisión Matemática-7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07">
            <w:pPr>
              <w:spacing w:after="0" w:line="259" w:lineRule="auto"/>
              <w:ind w:left="0" w:right="19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Movimiento-12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0" w:right="2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Leyes de Newton-13 días</w:t>
            </w:r>
          </w:p>
        </w:tc>
      </w:tr>
      <w:tr>
        <w:trPr>
          <w:cantSplit w:val="1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0" w:right="24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1A, 2C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59" w:lineRule="auto"/>
              <w:ind w:left="1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4A, 4B, 4C, 5A, 5B, 5D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1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4C, 4D, 4E, 4F </w:t>
            </w:r>
          </w:p>
        </w:tc>
      </w:tr>
      <w:tr>
        <w:trPr>
          <w:cantSplit w:val="1"/>
          <w:trHeight w:val="3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after="0" w:line="259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en una imagen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33" w:line="259" w:lineRule="auto"/>
              <w:ind w:left="1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seguridad es una expectativa y no una elección.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exactitud y la precisión son importantes a la hora de realizar mediciones.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matemáticas son fundamentales para la ciencia.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33" w:line="259" w:lineRule="auto"/>
              <w:ind w:left="1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movimiento se caracteriza por la energía y la aceleración.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energía nunca se crea ni se destruye, sino que simplemente cambia de forma.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energía cinética es la energía en acción, mientras que la energía potencial es la energía almacenada.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aceleración es una función de la velocidad y el tiempo.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velocidad es una función del desplazamiento y el tiempo.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velocidad es una función de la distancia y el tiempo.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desplazamiento, la velocidad y la aceleración son vectores y, por tanto, tienen dirección.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33" w:line="259" w:lineRule="auto"/>
              <w:ind w:left="1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objetos se mueven debido a fuerzas desequilibradas o cuando la fuerza neta no es 0.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fuerza es un vector y una función de la aceleración y la masa.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momento lineal se conserva en un sistema cerrado.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atracción gravitatoria depende de la masa de los objetos y de la distancia entre ellos. </w:t>
            </w:r>
          </w:p>
        </w:tc>
      </w:tr>
    </w:tbl>
    <w:p w:rsidR="00000000" w:rsidDel="00000000" w:rsidP="00000000" w:rsidRDefault="00000000" w:rsidRPr="00000000" w14:paraId="0000001F">
      <w:pPr>
        <w:spacing w:after="0" w:line="259" w:lineRule="auto"/>
        <w:ind w:left="5401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r w:rsidDel="00000000" w:rsidR="00000000" w:rsidRPr="00000000">
        <w:rPr>
          <w:rtl w:val="0"/>
        </w:rPr>
        <w:t xml:space="preserve">La materia se mueve - 18 días de enseñanza</w:t>
      </w:r>
    </w:p>
    <w:tbl>
      <w:tblPr>
        <w:tblStyle w:val="Table2"/>
        <w:tblW w:w="10800.0" w:type="dxa"/>
        <w:jc w:val="left"/>
        <w:tblInd w:w="1.0" w:type="dxa"/>
        <w:tblLayout w:type="fixed"/>
        <w:tblLook w:val="0400"/>
      </w:tblPr>
      <w:tblGrid>
        <w:gridCol w:w="1286"/>
        <w:gridCol w:w="4761"/>
        <w:gridCol w:w="4753"/>
        <w:tblGridChange w:id="0">
          <w:tblGrid>
            <w:gridCol w:w="1286"/>
            <w:gridCol w:w="4761"/>
            <w:gridCol w:w="4753"/>
          </w:tblGrid>
        </w:tblGridChange>
      </w:tblGrid>
      <w:tr>
        <w:trPr>
          <w:cantSplit w:val="1"/>
          <w:trHeight w:val="23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right="3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22">
            <w:pPr>
              <w:spacing w:after="0" w:line="259" w:lineRule="auto"/>
              <w:ind w:left="2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Fuentes de energía-3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23">
            <w:pPr>
              <w:spacing w:after="0" w:line="259" w:lineRule="auto"/>
              <w:ind w:left="21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Materia-15 días</w:t>
            </w:r>
          </w:p>
        </w:tc>
      </w:tr>
      <w:tr>
        <w:trPr>
          <w:cantSplit w:val="1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2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59" w:lineRule="auto"/>
              <w:ind w:left="1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5D, 5H, 5I, 5E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59" w:lineRule="auto"/>
              <w:ind w:left="1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5E, 6A, 6C, 7A  </w:t>
            </w:r>
          </w:p>
        </w:tc>
      </w:tr>
      <w:tr>
        <w:trPr>
          <w:cantSplit w:val="1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="259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en una imagen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33" w:line="259" w:lineRule="auto"/>
              <w:ind w:left="1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energía puede transformarse en otras formas de energía.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fuentes de energía renovables y no renovables tienen consecuencias que afectan a nuestra vida cotidiana.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33" w:line="259" w:lineRule="auto"/>
              <w:ind w:left="1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materia y la energía están relacionadas.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materia tiene propiedades químicas y físicas que nos ayudan a distinguir entre distintas sustancias.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spacing w:after="0" w:line="259" w:lineRule="auto"/>
              <w:ind w:left="377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materia puede cambiar de forma.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rPr/>
      </w:pPr>
      <w:r w:rsidDel="00000000" w:rsidR="00000000" w:rsidRPr="00000000">
        <w:rPr>
          <w:rtl w:val="0"/>
        </w:rPr>
        <w:t xml:space="preserve">Primer y Segundo Semestre</w:t>
      </w:r>
    </w:p>
    <w:p w:rsidR="00000000" w:rsidDel="00000000" w:rsidP="00000000" w:rsidRDefault="00000000" w:rsidRPr="00000000" w14:paraId="00000033">
      <w:pPr>
        <w:pStyle w:val="Heading3"/>
        <w:rPr/>
      </w:pPr>
      <w:r w:rsidDel="00000000" w:rsidR="00000000" w:rsidRPr="00000000">
        <w:rPr>
          <w:rtl w:val="0"/>
        </w:rPr>
        <w:t xml:space="preserve">Propiedades Químicas - 54 días de enseñanza (16 días primer semestre), 54 días de enseñanza (38 días segundo semestre)</w:t>
      </w:r>
    </w:p>
    <w:tbl>
      <w:tblPr>
        <w:tblStyle w:val="Table3"/>
        <w:tblW w:w="10787.0" w:type="dxa"/>
        <w:jc w:val="left"/>
        <w:tblInd w:w="1.0" w:type="dxa"/>
        <w:tblLayout w:type="fixed"/>
        <w:tblLook w:val="0400"/>
      </w:tblPr>
      <w:tblGrid>
        <w:gridCol w:w="1286"/>
        <w:gridCol w:w="2392"/>
        <w:gridCol w:w="2402"/>
        <w:gridCol w:w="2354"/>
        <w:gridCol w:w="2353"/>
        <w:tblGridChange w:id="0">
          <w:tblGrid>
            <w:gridCol w:w="1286"/>
            <w:gridCol w:w="2392"/>
            <w:gridCol w:w="2402"/>
            <w:gridCol w:w="2354"/>
            <w:gridCol w:w="2353"/>
          </w:tblGrid>
        </w:tblGridChange>
      </w:tblGrid>
      <w:tr>
        <w:trPr>
          <w:cantSplit w:val="1"/>
          <w:trHeight w:val="23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right="3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0053bc" w:val="clear"/>
          </w:tcPr>
          <w:p w:rsidR="00000000" w:rsidDel="00000000" w:rsidP="00000000" w:rsidRDefault="00000000" w:rsidRPr="00000000" w14:paraId="00000035">
            <w:pPr>
              <w:spacing w:after="0" w:line="259" w:lineRule="auto"/>
              <w:ind w:left="2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Átomos-16 días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36">
            <w:pPr>
              <w:spacing w:after="0" w:line="259" w:lineRule="auto"/>
              <w:ind w:left="2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Enlaces-18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37">
            <w:pPr>
              <w:spacing w:after="0" w:line="259" w:lineRule="auto"/>
              <w:ind w:left="2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Reacciones químicas-12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2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Reacciones nucleares-3 días</w:t>
            </w:r>
          </w:p>
        </w:tc>
      </w:tr>
      <w:tr>
        <w:trPr>
          <w:cantSplit w:val="1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2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A">
            <w:pPr>
              <w:spacing w:after="0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6D 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4G, 6D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5E, 6C, 7B, 7C, 7D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7E </w:t>
            </w:r>
          </w:p>
        </w:tc>
      </w:tr>
      <w:tr>
        <w:trPr>
          <w:cantSplit w:val="1"/>
          <w:trHeight w:val="9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spacing w:after="0" w:line="259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en una imagen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F">
            <w:pPr>
              <w:spacing w:after="33" w:line="259" w:lineRule="auto"/>
              <w:ind w:left="1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71" w:lineRule="auto"/>
              <w:ind w:left="357" w:right="-27" w:hanging="27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pple Color Emoji" w:cs="Apple Color Emoji" w:eastAsia="Apple Color Emoji" w:hAnsi="Apple Color Emoji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materia está formada por átomos. </w:t>
            </w:r>
          </w:p>
          <w:p w:rsidR="00000000" w:rsidDel="00000000" w:rsidP="00000000" w:rsidRDefault="00000000" w:rsidRPr="00000000" w14:paraId="00000041">
            <w:pPr>
              <w:spacing w:after="0" w:line="271" w:lineRule="auto"/>
              <w:ind w:left="357" w:right="-27" w:hanging="2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✔ Los elementos tienen comportamientos químicos y físicos relacionados con su ubicación en la Tabla Periódica.</w:t>
            </w:r>
          </w:p>
          <w:p w:rsidR="00000000" w:rsidDel="00000000" w:rsidP="00000000" w:rsidRDefault="00000000" w:rsidRPr="00000000" w14:paraId="00000042">
            <w:pPr>
              <w:spacing w:after="0" w:line="271" w:lineRule="auto"/>
              <w:ind w:left="0" w:right="-2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361" w:right="70" w:hanging="27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1" w:lineRule="auto"/>
              <w:ind w:left="361" w:right="70" w:hanging="27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Apple Color Emoji" w:cs="Apple Color Emoji" w:eastAsia="Apple Color Emoji" w:hAnsi="Apple Color Emoji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Las interacciones entre los átomos y sus electrones de valencia determinan la estructura de un compuesto.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0" w:line="259" w:lineRule="auto"/>
              <w:ind w:left="87" w:right="7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spacing w:after="0" w:line="241" w:lineRule="auto"/>
              <w:ind w:left="377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materia y la energía siempre se conservan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spacing w:after="0" w:line="241" w:lineRule="auto"/>
              <w:ind w:left="377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Cuando las partículas interactúan, los enlaces se rompen y se vuelven a formar para crear nuevas sustancias.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spacing w:after="0" w:line="241" w:lineRule="auto"/>
              <w:ind w:left="377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energía nuclear tiene un gran potencial para aplicaciones prácticas</w:t>
            </w:r>
          </w:p>
          <w:p w:rsidR="00000000" w:rsidDel="00000000" w:rsidP="00000000" w:rsidRDefault="00000000" w:rsidRPr="00000000" w14:paraId="0000004A">
            <w:pPr>
              <w:spacing w:after="0" w:line="259" w:lineRule="auto"/>
              <w:ind w:right="7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1" w:lineRule="auto"/>
              <w:ind w:left="377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Apple Color Emoji" w:cs="Apple Color Emoji" w:eastAsia="Apple Color Emoji" w:hAnsi="Apple Color Emoji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Las reacciones nucleares convierten la materia en energía mediante los procesos de desintegración radiactiva, fisión y fusión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D">
            <w:pPr>
              <w:spacing w:after="0" w:line="259" w:lineRule="auto"/>
              <w:ind w:left="1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59" w:lineRule="auto"/>
        <w:ind w:left="54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rPr/>
      </w:pPr>
      <w:r w:rsidDel="00000000" w:rsidR="00000000" w:rsidRPr="00000000">
        <w:rPr>
          <w:rtl w:val="0"/>
        </w:rPr>
        <w:t xml:space="preserve">Segundo Semestre</w:t>
      </w:r>
    </w:p>
    <w:p w:rsidR="00000000" w:rsidDel="00000000" w:rsidP="00000000" w:rsidRDefault="00000000" w:rsidRPr="00000000" w14:paraId="00000051">
      <w:pPr>
        <w:pStyle w:val="Heading3"/>
        <w:rPr/>
      </w:pPr>
      <w:r w:rsidDel="00000000" w:rsidR="00000000" w:rsidRPr="00000000">
        <w:rPr>
          <w:rtl w:val="0"/>
        </w:rPr>
        <w:t xml:space="preserve">Cambios energéticos - 35 días de enseñanza</w:t>
      </w:r>
    </w:p>
    <w:tbl>
      <w:tblPr>
        <w:tblStyle w:val="Table4"/>
        <w:tblW w:w="10800.0" w:type="dxa"/>
        <w:jc w:val="left"/>
        <w:tblInd w:w="1.0" w:type="dxa"/>
        <w:tblLayout w:type="fixed"/>
        <w:tblLook w:val="0400"/>
      </w:tblPr>
      <w:tblGrid>
        <w:gridCol w:w="1286"/>
        <w:gridCol w:w="3171"/>
        <w:gridCol w:w="3172"/>
        <w:gridCol w:w="3171"/>
        <w:tblGridChange w:id="0">
          <w:tblGrid>
            <w:gridCol w:w="1286"/>
            <w:gridCol w:w="3171"/>
            <w:gridCol w:w="3172"/>
            <w:gridCol w:w="3171"/>
          </w:tblGrid>
        </w:tblGridChange>
      </w:tblGrid>
      <w:tr>
        <w:trPr>
          <w:cantSplit w:val="1"/>
          <w:trHeight w:val="22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after="0" w:line="259" w:lineRule="auto"/>
              <w:ind w:left="1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53">
            <w:pPr>
              <w:spacing w:after="0" w:line="259" w:lineRule="auto"/>
              <w:ind w:left="22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Soluciones-16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54">
            <w:pPr>
              <w:spacing w:after="0" w:line="259" w:lineRule="auto"/>
              <w:ind w:left="2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Electricidad y magnetismo-9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55">
            <w:pPr>
              <w:spacing w:after="0" w:line="259" w:lineRule="auto"/>
              <w:ind w:left="24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Ondas-10 Días</w:t>
            </w:r>
          </w:p>
        </w:tc>
      </w:tr>
      <w:tr>
        <w:trPr>
          <w:cantSplit w:val="1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spacing w:after="0" w:line="259" w:lineRule="auto"/>
              <w:ind w:left="23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6B, 6C, 6E, 6F, 7F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4G, 5C, 5F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5G </w:t>
            </w:r>
          </w:p>
        </w:tc>
      </w:tr>
      <w:tr>
        <w:trPr>
          <w:cantSplit w:val="1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spacing w:after="0" w:line="259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en una imagen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33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59" w:lineRule="auto"/>
              <w:ind w:left="377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Apple Color Emoji" w:cs="Apple Color Emoji" w:eastAsia="Apple Color Emoji" w:hAnsi="Apple Color Emoji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El agua desempeña un papel único en los sistemas químicos debido a sus propiedades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33" w:line="259" w:lineRule="auto"/>
              <w:ind w:left="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59" w:lineRule="auto"/>
              <w:ind w:left="377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Apple Color Emoji" w:cs="Apple Color Emoji" w:eastAsia="Apple Color Emoji" w:hAnsi="Apple Color Emoji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electricidad y el magnetismo son dos aspectos de la misma fuerza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Comprensión permanente: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59" w:lineRule="auto"/>
              <w:ind w:left="377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Apple Color Emoji" w:cs="Apple Color Emoji" w:eastAsia="Apple Color Emoji" w:hAnsi="Apple Color Emoji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Las ondas son un medio para transmitir materia y energía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3678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1" w:line="259" w:lineRule="auto"/>
        <w:ind w:left="5401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rPr/>
      </w:pPr>
      <w:r w:rsidDel="00000000" w:rsidR="00000000" w:rsidRPr="00000000">
        <w:rPr>
          <w:rtl w:val="0"/>
        </w:rPr>
        <w:t xml:space="preserve">IPC TEKS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761" w:right="1" w:hanging="40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Procesos científicos. El estudiante, durante al menos el 40% del tiempo de instrucción, lleva a cabo investigaciones de laboratorio y de campo utilizando prácticas seguras, ambientalmente apropiadas y éticas. Se espera que el alumno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E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demuestre prácticas seguras durante las investigaciones de laboratorio y de campo, incluido el uso adecuado de duchas de seguridad, fuentes lavaojos, gafas de seguridad o gafas contra salpicaduras químicas, según proceda, y extintores; </w:t>
      </w:r>
    </w:p>
    <w:p w:rsidR="00000000" w:rsidDel="00000000" w:rsidP="00000000" w:rsidRDefault="00000000" w:rsidRPr="00000000" w14:paraId="0000006F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conocer los peligros específicos de las sustancias químicas, como la inflamabilidad, la corrosividad y la radiactividad, tal y como se resumen en las </w:t>
      </w:r>
    </w:p>
    <w:p w:rsidR="00000000" w:rsidDel="00000000" w:rsidP="00000000" w:rsidRDefault="00000000" w:rsidRPr="00000000" w14:paraId="00000070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fichas de datos de seguridad (FDS); </w:t>
      </w:r>
    </w:p>
    <w:p w:rsidR="00000000" w:rsidDel="00000000" w:rsidP="00000000" w:rsidRDefault="00000000" w:rsidRPr="00000000" w14:paraId="00000071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demostrar que comprende el uso y la conservación de los recursos y la correcta eliminación o reciclado de materiales.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ind w:left="761" w:right="1" w:hanging="40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Procesos científicos. El alumno utiliza prácticas científicas durante las investigaciones de laboratorio y de campo. Se espera que el alumno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3">
      <w:pPr>
        <w:numPr>
          <w:ilvl w:val="1"/>
          <w:numId w:val="7"/>
        </w:numPr>
        <w:ind w:left="1466" w:right="1" w:hanging="400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conozca la definición de ciencia y comprenda que tiene limitaciones, tal y como se especifica en el subapartado (b)(2) de esta sección; </w:t>
      </w:r>
    </w:p>
    <w:p w:rsidR="00000000" w:rsidDel="00000000" w:rsidP="00000000" w:rsidRDefault="00000000" w:rsidRPr="00000000" w14:paraId="00000074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planifique y ponga en práctica procedimientos de investigación, incluyendo el planteamiento de preguntas, la formulación de hipótesis comprobables y la selección de equipos y tecnología; </w:t>
      </w:r>
    </w:p>
    <w:p w:rsidR="00000000" w:rsidDel="00000000" w:rsidP="00000000" w:rsidRDefault="00000000" w:rsidRPr="00000000" w14:paraId="00000075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recopilar datos y realizar mediciones con exactitud y precisión </w:t>
      </w:r>
    </w:p>
    <w:p w:rsidR="00000000" w:rsidDel="00000000" w:rsidP="00000000" w:rsidRDefault="00000000" w:rsidRPr="00000000" w14:paraId="00000076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organizar, analizar, evaluar, hacer inferencias y predecir tendencias a partir de los datos; y </w:t>
      </w:r>
    </w:p>
    <w:p w:rsidR="00000000" w:rsidDel="00000000" w:rsidP="00000000" w:rsidRDefault="00000000" w:rsidRPr="00000000" w14:paraId="00000077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comunicar conclusiones válidas apoyadas en los datos mediante métodos como informes de laboratorio, dibujos etiquetados, gráficos, diarios, resúmenes, informes orales e informes basados en la tecnología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ind w:left="761" w:right="1" w:hanging="40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Procesos científicos. El alumno utiliza el pensamiento crítico, el razonamiento científico y la resolución de problemas para tomar decisiones fundamentadas. Se espera que el alumno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9">
      <w:pPr>
        <w:numPr>
          <w:ilvl w:val="1"/>
          <w:numId w:val="7"/>
        </w:numPr>
        <w:ind w:left="1466" w:right="1" w:hanging="400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analice, evalúe y critique explicaciones científicas utilizando pruebas empíricas, razonamientos lógicos y pruebas experimentales y observacionales, de modo que se fomente el pensamiento crítico del alumno; </w:t>
      </w:r>
    </w:p>
    <w:p w:rsidR="00000000" w:rsidDel="00000000" w:rsidP="00000000" w:rsidRDefault="00000000" w:rsidRPr="00000000" w14:paraId="0000007A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comunicar y aplicar información científica extraída de diversas fuentes, como acontecimientos de actualidad, artículos publicados en revistas y materiales de marketing; </w:t>
      </w:r>
    </w:p>
    <w:p w:rsidR="00000000" w:rsidDel="00000000" w:rsidP="00000000" w:rsidRDefault="00000000" w:rsidRPr="00000000" w14:paraId="0000007B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extraer inferencias basadas en datos relacionados con materiales promocionales de productos y servicios; </w:t>
      </w:r>
    </w:p>
    <w:p w:rsidR="00000000" w:rsidDel="00000000" w:rsidP="00000000" w:rsidRDefault="00000000" w:rsidRPr="00000000" w14:paraId="0000007C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evaluar el impacto de la investigación en el pensamiento científico, la sociedad y el medio ambiente; </w:t>
      </w:r>
    </w:p>
    <w:p w:rsidR="00000000" w:rsidDel="00000000" w:rsidP="00000000" w:rsidRDefault="00000000" w:rsidRPr="00000000" w14:paraId="0000007D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describir las conexiones entre la física y la química y las carreras futuras; e </w:t>
      </w:r>
    </w:p>
    <w:p w:rsidR="00000000" w:rsidDel="00000000" w:rsidP="00000000" w:rsidRDefault="00000000" w:rsidRPr="00000000" w14:paraId="0000007E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investigar y describir la historia de la física y la química y las contribuciones de los científicos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ind w:left="761" w:right="1" w:hanging="40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Conceptos científicos. El alumno conoce conceptos de fuerza y movimiento evidentes en la vida cotidiana. Se espera del alumno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80">
      <w:pPr>
        <w:numPr>
          <w:ilvl w:val="1"/>
          <w:numId w:val="7"/>
        </w:numPr>
        <w:ind w:left="1466" w:right="1" w:hanging="400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describir y calcular el movimiento de un objeto en términos de posición, desplazamiento, velocidad y aceleración;  </w:t>
      </w:r>
    </w:p>
    <w:p w:rsidR="00000000" w:rsidDel="00000000" w:rsidP="00000000" w:rsidRDefault="00000000" w:rsidRPr="00000000" w14:paraId="00000081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medir y representar gráficamente la distancia y la velocidad en función del tiempo;  </w:t>
      </w:r>
    </w:p>
    <w:p w:rsidR="00000000" w:rsidDel="00000000" w:rsidP="00000000" w:rsidRDefault="00000000" w:rsidRPr="00000000" w14:paraId="00000082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*investigar cómo cambia el movimiento de un objeto sólo cuando se aplica una fuerza neta, incluyendo actividades y equipos como coches de juguete, sistemas de retención de vehículos, actividades deportivas y objetos de clase;  </w:t>
      </w:r>
    </w:p>
    <w:p w:rsidR="00000000" w:rsidDel="00000000" w:rsidP="00000000" w:rsidRDefault="00000000" w:rsidRPr="00000000" w14:paraId="00000083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describir y calcular la relación entre fuerza, masa y aceleración utilizando equipos como carros dinámicos, juguetes en movimiento, vehículos y objetos que caen;  </w:t>
      </w:r>
    </w:p>
    <w:p w:rsidR="00000000" w:rsidDel="00000000" w:rsidP="00000000" w:rsidRDefault="00000000" w:rsidRPr="00000000" w14:paraId="00000084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*explicar el concepto de conservación del momento utilizando fuerzas de acción y reacción;  </w:t>
      </w:r>
    </w:p>
    <w:p w:rsidR="00000000" w:rsidDel="00000000" w:rsidP="00000000" w:rsidRDefault="00000000" w:rsidRPr="00000000" w14:paraId="00000085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describir la atracción gravitatoria entre objetos de diferentes masas a diferentes distancias; y </w:t>
      </w:r>
    </w:p>
    <w:p w:rsidR="00000000" w:rsidDel="00000000" w:rsidP="00000000" w:rsidRDefault="00000000" w:rsidRPr="00000000" w14:paraId="00000086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examinar la fuerza eléctrica como fuerza universal entre dos objetos cargados cualesquiera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ind w:left="761" w:right="1" w:hanging="40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Conceptos científicos. El alumno reconoce múltiples formas de energía y conoce el impacto de la transferencia de energía y la conservación de la energía en la vida cotidiana. Se espera que el alumno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88">
      <w:pPr>
        <w:numPr>
          <w:ilvl w:val="1"/>
          <w:numId w:val="7"/>
        </w:numPr>
        <w:ind w:left="1466" w:right="1" w:hanging="400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reconozca y demuestre que los objetos y sustancias en movimiento tienen energía cinética, como la vibración de los átomos, el agua que fluye por un arroyo moviendo guijarros y las bolas de bolos derribando bolos;  </w:t>
      </w:r>
    </w:p>
    <w:p w:rsidR="00000000" w:rsidDel="00000000" w:rsidP="00000000" w:rsidRDefault="00000000" w:rsidRPr="00000000" w14:paraId="00000089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reconocer y demostrar formas comunes de energía potencial, incluidas la gravitatoria, la elástica y la química, como una bola en un plano inclinado, muelles y pilas;  </w:t>
      </w:r>
    </w:p>
    <w:p w:rsidR="00000000" w:rsidDel="00000000" w:rsidP="00000000" w:rsidRDefault="00000000" w:rsidRPr="00000000" w14:paraId="0000008A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demostrar que las cargas eléctricas en movimiento producen fuerzas magnéticas y que los imanes en movimiento producen fuerzas eléctricas; d. *investigar la ley de conservación de la energía;  </w:t>
      </w:r>
    </w:p>
    <w:p w:rsidR="00000000" w:rsidDel="00000000" w:rsidP="00000000" w:rsidRDefault="00000000" w:rsidRPr="00000000" w14:paraId="0000008B">
      <w:pPr>
        <w:ind w:left="1466" w:right="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 investigar y demostrar el movimiento de la energía térmica a través de sólidos, líquidos y gases por convección, conducción y radiación, como en los sistemas meteorológicos, vivos y mecánicos;  </w:t>
      </w:r>
    </w:p>
    <w:p w:rsidR="00000000" w:rsidDel="00000000" w:rsidP="00000000" w:rsidRDefault="00000000" w:rsidRPr="00000000" w14:paraId="0000008C">
      <w:pPr>
        <w:ind w:left="1466" w:right="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f. evaluar la transferencia de energía eléctrica en circuitos en serie y en paralelo y en materiales conductores;  </w:t>
      </w:r>
    </w:p>
    <w:p w:rsidR="00000000" w:rsidDel="00000000" w:rsidP="00000000" w:rsidRDefault="00000000" w:rsidRPr="00000000" w14:paraId="0000008D">
      <w:pPr>
        <w:ind w:left="1466" w:right="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g. *explorar las características y comportamientos de la energía transferida por las ondas, incluidas las acústicas, sísmicas, luminosas y las ondas en el agua, a medida que se reflejan, refractan, difractan, interfieren entre sí y son absorbidas por los materiales;  </w:t>
      </w:r>
    </w:p>
    <w:p w:rsidR="00000000" w:rsidDel="00000000" w:rsidP="00000000" w:rsidRDefault="00000000" w:rsidRPr="00000000" w14:paraId="0000008E">
      <w:pPr>
        <w:ind w:left="1466" w:right="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h. analizar las transformaciones energéticas de los recursos renovables y no renovables; y  </w:t>
      </w:r>
    </w:p>
    <w:p w:rsidR="00000000" w:rsidDel="00000000" w:rsidP="00000000" w:rsidRDefault="00000000" w:rsidRPr="00000000" w14:paraId="0000008F">
      <w:pPr>
        <w:ind w:left="1466" w:right="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criticar las ventajas e inconvenientes de las distintas fuentes de energía y su impacto en la sociedad y el medio ambiente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ind w:left="761" w:right="1" w:hanging="40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Conceptos científicos. El alumno sabe que existen relaciones entre la estructura y las propiedades de la materia. Se espera que el alumno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91">
      <w:pPr>
        <w:numPr>
          <w:ilvl w:val="1"/>
          <w:numId w:val="7"/>
        </w:numPr>
        <w:ind w:left="1466" w:right="1" w:hanging="400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examine las diferencias en las propiedades físicas de sólidos, líquidos y gases según se explican por la disposición y el movimiento de átomos o moléculas;  </w:t>
      </w:r>
    </w:p>
    <w:p w:rsidR="00000000" w:rsidDel="00000000" w:rsidP="00000000" w:rsidRDefault="00000000" w:rsidRPr="00000000" w14:paraId="00000092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las propiedades químicas de las sustancias con la disposición de sus átomos;  </w:t>
      </w:r>
    </w:p>
    <w:p w:rsidR="00000000" w:rsidDel="00000000" w:rsidP="00000000" w:rsidRDefault="00000000" w:rsidRPr="00000000" w14:paraId="00000093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*analizar las propiedades físicas y químicas de elementos y compuestos como el color, la densidad, la viscosidad, la flotabilidad, el punto de ebullición, el punto de congelación, la conductividad y la reactividad;  </w:t>
      </w:r>
    </w:p>
    <w:p w:rsidR="00000000" w:rsidDel="00000000" w:rsidP="00000000" w:rsidRDefault="00000000" w:rsidRPr="00000000" w14:paraId="00000094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relacionar la ubicación de un elemento en la Tabla Periódica con su comportamiento físico y químico, incluidos el enlace y la clasificación;  </w:t>
      </w:r>
    </w:p>
    <w:p w:rsidR="00000000" w:rsidDel="00000000" w:rsidP="00000000" w:rsidRDefault="00000000" w:rsidRPr="00000000" w14:paraId="00000095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relacionar la estructura del agua con su función como disolvente; e  </w:t>
      </w:r>
    </w:p>
    <w:p w:rsidR="00000000" w:rsidDel="00000000" w:rsidP="00000000" w:rsidRDefault="00000000" w:rsidRPr="00000000" w14:paraId="00000096">
      <w:pPr>
        <w:numPr>
          <w:ilvl w:val="1"/>
          <w:numId w:val="7"/>
        </w:numPr>
        <w:ind w:left="1466" w:right="1" w:hanging="400.999999999999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investigar las propiedades de las soluciones acuosas y los factores que afectan a la solubilidad de los sólidos, como la naturaleza del soluto, la temperatura y la concentración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97">
      <w:pPr>
        <w:numPr>
          <w:ilvl w:val="0"/>
          <w:numId w:val="7"/>
        </w:numPr>
        <w:ind w:left="761" w:right="1" w:hanging="40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Conceptos científicos. El alumno sabe que los cambios en la materia afectan a la vida cotidiana. Se espera que el alumno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98">
      <w:pPr>
        <w:numPr>
          <w:ilvl w:val="2"/>
          <w:numId w:val="8"/>
        </w:numPr>
        <w:ind w:left="1425" w:right="1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investigue los cambios de estado en relación con la disposición de las partículas de la materia y la transferencia de energía;  </w:t>
      </w:r>
    </w:p>
    <w:p w:rsidR="00000000" w:rsidDel="00000000" w:rsidP="00000000" w:rsidRDefault="00000000" w:rsidRPr="00000000" w14:paraId="00000099">
      <w:pPr>
        <w:numPr>
          <w:ilvl w:val="2"/>
          <w:numId w:val="8"/>
        </w:numPr>
        <w:ind w:left="1425" w:right="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*reconozca que pueden producirse cambios químicos cuando las sustancias reaccionan para formar sustancias diferentes y que estas interacciones están determinadas en gran medida por los electrones de valencia;  </w:t>
      </w:r>
    </w:p>
    <w:p w:rsidR="00000000" w:rsidDel="00000000" w:rsidP="00000000" w:rsidRDefault="00000000" w:rsidRPr="00000000" w14:paraId="0000009A">
      <w:pPr>
        <w:numPr>
          <w:ilvl w:val="2"/>
          <w:numId w:val="8"/>
        </w:numPr>
        <w:ind w:left="1425" w:right="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*demostrar que la masa se conserva cuando las sustancias experimentan un cambio químico y que el número y la clase de átomos son los mismos en los reactantes y en los productos;  </w:t>
      </w:r>
    </w:p>
    <w:p w:rsidR="00000000" w:rsidDel="00000000" w:rsidP="00000000" w:rsidRDefault="00000000" w:rsidRPr="00000000" w14:paraId="0000009B">
      <w:pPr>
        <w:numPr>
          <w:ilvl w:val="2"/>
          <w:numId w:val="8"/>
        </w:numPr>
        <w:ind w:left="1425" w:right="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clasificar como reacciones exotérmicas o endotérmicas los cambios de energía que acompañan a las reacciones químicas, como las que se producen en las bolsas de calor, las bolsas frías y las barritas luminosas;  </w:t>
      </w:r>
    </w:p>
    <w:p w:rsidR="00000000" w:rsidDel="00000000" w:rsidP="00000000" w:rsidRDefault="00000000" w:rsidRPr="00000000" w14:paraId="0000009C">
      <w:pPr>
        <w:numPr>
          <w:ilvl w:val="2"/>
          <w:numId w:val="8"/>
        </w:numPr>
        <w:ind w:left="1425" w:right="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describir tipos de reacciones nucleares como la fisión y la fusión y su papel en aplicaciones como la medicina y la producción de energía; e  </w:t>
      </w:r>
    </w:p>
    <w:p w:rsidR="00000000" w:rsidDel="00000000" w:rsidP="00000000" w:rsidRDefault="00000000" w:rsidRPr="00000000" w14:paraId="0000009D">
      <w:pPr>
        <w:numPr>
          <w:ilvl w:val="2"/>
          <w:numId w:val="8"/>
        </w:numPr>
        <w:ind w:left="1425" w:right="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investigar y describir el impacto medioambiental y económico de los productos finales de las reacciones químicas, como los que pueden provocar la lluvia ácida, la degradación de la calidad del agua y del aire y el agotamiento de la capa de ozono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9E">
      <w:pPr>
        <w:spacing w:after="0" w:line="259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after="0" w:line="241" w:lineRule="auto"/>
        <w:ind w:left="324" w:right="275" w:firstLine="0"/>
        <w:jc w:val="cente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Fuente: Las disposiciones de este §112.38 adoptadas para ser efectivas el 4 de agosto del 2009, 34 TexReg 5063; enmendadas para ser efectivas el 27 de agosto del 2018, 42 TexReg 5052.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5840" w:w="12240" w:orient="portrait"/>
      <w:pgMar w:bottom="879" w:top="755" w:left="720" w:right="729" w:header="720" w:footer="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pple Color Emoj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spacing w:after="0" w:line="259" w:lineRule="auto"/>
      <w:ind w:left="8" w:firstLine="0"/>
      <w:jc w:val="center"/>
      <w:rPr/>
    </w:pPr>
    <w:r w:rsidDel="00000000" w:rsidR="00000000" w:rsidRPr="00000000">
      <w:rPr>
        <w:rtl w:val="0"/>
      </w:rPr>
      <w:t xml:space="preserve">PISD Secondary Academics • 6/8/2023</w:t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spacing w:after="0" w:line="259" w:lineRule="auto"/>
      <w:ind w:left="8" w:firstLine="0"/>
      <w:jc w:val="center"/>
      <w:rPr/>
    </w:pPr>
    <w:r w:rsidDel="00000000" w:rsidR="00000000" w:rsidRPr="00000000">
      <w:rPr>
        <w:rtl w:val="0"/>
      </w:rPr>
      <w:t xml:space="preserve">PISD Secondary Academics • 6/8/2023</w:t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spacing w:after="0" w:line="259" w:lineRule="auto"/>
      <w:ind w:left="8" w:firstLine="0"/>
      <w:jc w:val="center"/>
      <w:rPr/>
    </w:pPr>
    <w:r w:rsidDel="00000000" w:rsidR="00000000" w:rsidRPr="00000000">
      <w:rPr>
        <w:rtl w:val="0"/>
      </w:rPr>
      <w:t xml:space="preserve">PISD Secondary Academics • 6/8/2023</w:t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77" w:hanging="37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377" w:hanging="37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377" w:hanging="37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✔"/>
      <w:lvlJc w:val="left"/>
      <w:pPr>
        <w:ind w:left="377" w:hanging="37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✔"/>
      <w:lvlJc w:val="left"/>
      <w:pPr>
        <w:ind w:left="377" w:hanging="37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✔"/>
      <w:lvlJc w:val="left"/>
      <w:pPr>
        <w:ind w:left="377" w:hanging="37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61" w:hanging="761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66" w:hanging="1466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900" w:hanging="90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lowerLetter"/>
      <w:lvlText w:val="%3."/>
      <w:lvlJc w:val="left"/>
      <w:pPr>
        <w:ind w:left="1425" w:hanging="1425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8"/>
        <w:szCs w:val="18"/>
        <w:lang w:val="en-US"/>
      </w:rPr>
    </w:rPrDefault>
    <w:pPrDefault>
      <w:pPr>
        <w:spacing w:after="20" w:line="249" w:lineRule="auto"/>
        <w:ind w:left="37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40" w:lineRule="auto"/>
      <w:ind w:left="10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10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" w:line="249" w:lineRule="auto"/>
      <w:ind w:left="370" w:hanging="10"/>
    </w:pPr>
    <w:rPr>
      <w:rFonts w:ascii="Calibri" w:cs="Calibri" w:eastAsia="Calibri" w:hAnsi="Calibri"/>
      <w:color w:val="000000"/>
      <w:sz w:val="18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6848CA"/>
    <w:pPr>
      <w:keepNext w:val="1"/>
      <w:keepLines w:val="1"/>
      <w:spacing w:after="0" w:line="240" w:lineRule="auto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848CA"/>
    <w:pPr>
      <w:keepNext w:val="1"/>
      <w:keepLines w:val="1"/>
      <w:spacing w:after="0" w:line="240" w:lineRule="auto"/>
      <w:ind w:left="10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6848CA"/>
    <w:pPr>
      <w:keepNext w:val="1"/>
      <w:keepLines w:val="1"/>
      <w:spacing w:after="0" w:line="240" w:lineRule="auto"/>
      <w:ind w:left="10"/>
      <w:outlineLvl w:val="2"/>
    </w:pPr>
    <w:rPr>
      <w:rFonts w:asciiTheme="minorHAnsi" w:cstheme="majorBidi" w:eastAsiaTheme="majorEastAsia" w:hAnsiTheme="minorHAnsi"/>
      <w:b w:val="1"/>
      <w:color w:val="000000" w:themeColor="text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6848CA"/>
    <w:rPr>
      <w:rFonts w:cstheme="majorBidi" w:eastAsiaTheme="majorEastAsia"/>
      <w:b w:val="1"/>
      <w:color w:val="000000" w:themeColor="text1"/>
      <w:sz w:val="36"/>
      <w:szCs w:val="32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6848CA"/>
    <w:rPr>
      <w:rFonts w:cstheme="majorBidi" w:eastAsiaTheme="majorEastAsia"/>
      <w:b w:val="1"/>
      <w:color w:val="000000" w:themeColor="text1"/>
      <w:sz w:val="28"/>
      <w:szCs w:val="26"/>
      <w:lang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6848CA"/>
    <w:rPr>
      <w:rFonts w:cstheme="majorBidi" w:eastAsiaTheme="majorEastAsia"/>
      <w:b w:val="1"/>
      <w:color w:val="000000" w:themeColor="text1"/>
      <w:sz w:val="28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9.0" w:type="dxa"/>
        <w:left w:w="9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9.0" w:type="dxa"/>
        <w:left w:w="91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9.0" w:type="dxa"/>
        <w:left w:w="91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91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rGmCB3t1g8SNjZElISHYnA7pQ==">CgMxLjA4AHIhMWxmQVA3S3RUdEFhZWlpeWw2M052Z1dxUXlkUFlfeTI0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2023-07-31T03:42:00Z</dcterms:created>
</cp:coreProperties>
</file>